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Security Model &amp; Tenancy Isolation Overview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Per-court isolation: dedicated account/subscription/project/compartment per court.</w:t>
      </w:r>
    </w:p>
    <w:p>
      <w:r>
        <w:rPr>
          <w:rFonts w:ascii="Times New Roman" w:hAnsi="Times New Roman"/>
          <w:color w:val="000000"/>
          <w:sz w:val="22"/>
        </w:rPr>
        <w:t>• Shared services in CCoE tenancy for identity, logging, SIEM, ticketing, secrets escrow.</w:t>
      </w:r>
    </w:p>
    <w:p>
      <w:r>
        <w:rPr>
          <w:rFonts w:ascii="Times New Roman" w:hAnsi="Times New Roman"/>
          <w:color w:val="000000"/>
          <w:sz w:val="22"/>
        </w:rPr>
        <w:t>• Cross-tenant access: least-privilege, time-bound, audited; read-only by default.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