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Security Strategy — Zero Trust</w:t>
      </w:r>
    </w:p>
    <w:p>
      <w:r>
        <w:t>Date: 2025-11-12</w:t>
      </w:r>
    </w:p>
    <w:p/>
    <w:p>
      <w:r>
        <w:t>• Adopt identity-, device-, and context-aware access across all planes (control, data, management).</w:t>
      </w:r>
    </w:p>
    <w:p>
      <w:r>
        <w:t>• Segment by court and sensitivity; enforce least privilege and just-in-time access.</w:t>
      </w:r>
    </w:p>
    <w:p>
      <w:r>
        <w:t>• Encrypt data in transit and at rest with customer-managed keys for Sensitive/Sealed workloads.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