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Control Baseline — NIST SP 800-53 Rev. 5</w:t>
      </w:r>
    </w:p>
    <w:p>
      <w:r>
        <w:t>Date: 2025-11-12</w:t>
      </w:r>
    </w:p>
    <w:p/>
    <w:p>
      <w:r>
        <w:t>• FedRAMP Moderate baseline for shared services; uplift enclaves to High-equivalent where required.</w:t>
      </w:r>
    </w:p>
    <w:p>
      <w:r>
        <w:t>• Map guardrails and processes to AC, AU, CM, CP, IA, IR, RA, SC, SI families.</w:t>
      </w:r>
    </w:p>
    <w:p>
      <w:r>
        <w:t>• Define inheritance from CSPs vs. system-specific implementations; maintain CRM (Customer Responsibility Matrix).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