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Data Protection and Encryption</w:t>
      </w:r>
    </w:p>
    <w:p>
      <w:r>
        <w:t>Date: 2025-11-12</w:t>
      </w:r>
    </w:p>
    <w:p/>
    <w:p>
      <w:r>
        <w:t>• Data classification drives protections; tag with court_id, data_class, owner, retention, encryption_key_id.</w:t>
      </w:r>
    </w:p>
    <w:p>
      <w:r>
        <w:t>• Use customer-managed keys (HSM-backed) for Sensitive/Sealed; rotation and dual control policies.</w:t>
      </w:r>
    </w:p>
    <w:p>
      <w:r>
        <w:t>• Tokenization/pseudonymization for higher-risk datasets; DLP at egress and email gateways.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