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Identity &amp; Access Architecture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Federation to central IdP (OIDC/SAML); SCIM/JIT provisioning; group-based access.</w:t>
      </w:r>
    </w:p>
    <w:p>
      <w:r>
        <w:rPr>
          <w:rFonts w:ascii="Times New Roman" w:hAnsi="Times New Roman"/>
          <w:color w:val="000000"/>
          <w:sz w:val="22"/>
        </w:rPr>
        <w:t>• RBAC/ABAC model per court; role catalog and naming convention; break-glass roles.</w:t>
      </w:r>
    </w:p>
    <w:p>
      <w:r>
        <w:rPr>
          <w:rFonts w:ascii="Times New Roman" w:hAnsi="Times New Roman"/>
          <w:color w:val="000000"/>
          <w:sz w:val="22"/>
        </w:rPr>
        <w:t>• Privileged access via PAW; session recording; approval workflow for elevation.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