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Identity and Privileged Access Security</w:t>
      </w:r>
    </w:p>
    <w:p>
      <w:r>
        <w:t>Date: 2025-11-12</w:t>
      </w:r>
    </w:p>
    <w:p/>
    <w:p>
      <w:r>
        <w:t>• Federation with phishing-resistant MFA for admin paths; PIV/CAC where applicable.</w:t>
      </w:r>
    </w:p>
    <w:p>
      <w:r>
        <w:t>• Privileged access via bastion/PAW; session recording and approval workflows.</w:t>
      </w:r>
    </w:p>
    <w:p>
      <w:r>
        <w:t>• Quarterly access recertifications; automated JML (joiner/mover/leaver).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