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Privileged Access Management (PAM) and Break-Glass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PAM vault for credentials/secrets; JIT elevation; time-limited tokens.</w:t>
      </w:r>
    </w:p>
    <w:p>
      <w:r>
        <w:rPr>
          <w:rFonts w:ascii="Times New Roman" w:hAnsi="Times New Roman"/>
          <w:color w:val="000000"/>
          <w:sz w:val="22"/>
        </w:rPr>
        <w:t>• Break-glass accounts: offline, MFA enforced, tamper evidence, post-use review.</w:t>
      </w:r>
    </w:p>
    <w:p>
      <w:r>
        <w:rPr>
          <w:rFonts w:ascii="Times New Roman" w:hAnsi="Times New Roman"/>
          <w:color w:val="000000"/>
          <w:sz w:val="22"/>
        </w:rPr>
        <w:t>• Quarterly access reviews; automated revocation for inactive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