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Network Security Baselines — Ingress / Egress / Segmentation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Ingress: WAF + load balancers; TLS 1.2+; mTLS for admin paths.</w:t>
      </w:r>
    </w:p>
    <w:p>
      <w:r>
        <w:rPr>
          <w:rFonts w:ascii="Times New Roman" w:hAnsi="Times New Roman"/>
          <w:color w:val="000000"/>
          <w:sz w:val="22"/>
        </w:rPr>
        <w:t>• Egress: default deny; egress proxy/NAT; DNS controls; SaaS allow-lists.</w:t>
      </w:r>
    </w:p>
    <w:p>
      <w:r>
        <w:rPr>
          <w:rFonts w:ascii="Times New Roman" w:hAnsi="Times New Roman"/>
          <w:color w:val="000000"/>
          <w:sz w:val="22"/>
        </w:rPr>
        <w:t>• Segmentation: per-court VPC/VNET/VPC-net; private endpoints to PaaS.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