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Crypto &amp; Key Management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Key hierarchy: CEK/DEK with KEK in HSM (FIPS 140-2/3).</w:t>
      </w:r>
    </w:p>
    <w:p>
      <w:r>
        <w:rPr>
          <w:rFonts w:ascii="Times New Roman" w:hAnsi="Times New Roman"/>
          <w:color w:val="000000"/>
          <w:sz w:val="22"/>
        </w:rPr>
        <w:t>• Separation of duties: key admins vs. data admins; dual authorization for deletes.</w:t>
      </w:r>
    </w:p>
    <w:p>
      <w:r>
        <w:rPr>
          <w:rFonts w:ascii="Times New Roman" w:hAnsi="Times New Roman"/>
          <w:color w:val="000000"/>
          <w:sz w:val="22"/>
        </w:rPr>
        <w:t>• Rotation schedules; key ceremonies; escrow and destruction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