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Vulnerability and Patch Management</w:t>
      </w:r>
    </w:p>
    <w:p>
      <w:r>
        <w:t>Date: 2025-11-12</w:t>
      </w:r>
    </w:p>
    <w:p/>
    <w:p>
      <w:r>
        <w:t>• Continuous scanning of hosts, containers, serverless, and IaC; risk-based prioritization.</w:t>
      </w:r>
    </w:p>
    <w:p>
      <w:r>
        <w:t>• Patch SLAs by severity; emergency patch path; compensating controls if deferring.</w:t>
      </w:r>
    </w:p>
    <w:p>
      <w:r>
        <w:t>• Evidence collection for ConMon dashboards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