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Continuity, Disaster Recovery, and Business Continuity</w:t>
      </w:r>
    </w:p>
    <w:p>
      <w:r>
        <w:t>Date: 2025-11-12</w:t>
      </w:r>
    </w:p>
    <w:p/>
    <w:p>
      <w:r>
        <w:t>• Tiered recovery with defined RTO/RPO; cross-region replication where supported.</w:t>
      </w:r>
    </w:p>
    <w:p>
      <w:r>
        <w:t>• Quarterly recovery tests; backup validation; alternate operations procedures.</w:t>
      </w:r>
    </w:p>
    <w:p>
      <w:r>
        <w:t>• Application dependency mapping to avoid partial recoveries.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