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Privacy — PTA/PIA Framework</w:t>
      </w:r>
    </w:p>
    <w:p>
      <w:r>
        <w:t>Date: 2025-11-12</w:t>
      </w:r>
    </w:p>
    <w:p/>
    <w:p>
      <w:r>
        <w:t>• Identify PII categories, flows, consent/notice; privacy risk assessments per workload.</w:t>
      </w:r>
    </w:p>
    <w:p>
      <w:r>
        <w:t>• Data minimization, retention limits, and redaction policies; cross-border restrictions if any.</w:t>
      </w:r>
    </w:p>
    <w:p>
      <w:r>
        <w:t>• Privacy training and breach notification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