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Access Reviews and Certifications</w:t>
      </w:r>
    </w:p>
    <w:p>
      <w:r>
        <w:t>Date: 2025-11-12</w:t>
      </w:r>
    </w:p>
    <w:p/>
    <w:p>
      <w:r>
        <w:t>• Quarterly access recertification by system owner and Security Officer.</w:t>
      </w:r>
    </w:p>
    <w:p>
      <w:r>
        <w:t>• Automated attestations for critical roles; segregation of duties checks.</w:t>
      </w:r>
    </w:p>
    <w:p>
      <w:r>
        <w:t>• Evidence archived for auditors.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