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Third-Party Risk and Supply Chain Security</w:t>
      </w:r>
    </w:p>
    <w:p>
      <w:r>
        <w:t>Date: 2025-11-12</w:t>
      </w:r>
    </w:p>
    <w:p/>
    <w:p>
      <w:r>
        <w:t>• Vendor risk assessments; SBOM requirements; signed artifacts and SLSA provenance.</w:t>
      </w:r>
    </w:p>
    <w:p>
      <w:r>
        <w:t>• Contracts include security obligations, audit rights, and breach notification SLAs.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