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40_SECURITY_PRIVACY — Index of Documents</w:t>
      </w:r>
    </w:p>
    <w:p>
      <w: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00_Cover_Sheet.docx</w:t>
            </w:r>
          </w:p>
        </w:tc>
        <w:tc>
          <w:tcPr>
            <w:tcW w:type="dxa" w:w="2880"/>
          </w:tcPr>
          <w:p>
            <w:r>
              <w:t>Identification and contacts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01_Terminology_and_Acronyms.docx</w:t>
            </w:r>
          </w:p>
        </w:tc>
        <w:tc>
          <w:tcPr>
            <w:tcW w:type="dxa" w:w="2880"/>
          </w:tcPr>
          <w:p>
            <w:r>
              <w:t>Standard vocabulary — placed after cover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02_Security_Strategy_Zero_Trust.docx</w:t>
            </w:r>
          </w:p>
        </w:tc>
        <w:tc>
          <w:tcPr>
            <w:tcW w:type="dxa" w:w="2880"/>
          </w:tcPr>
          <w:p>
            <w:r>
              <w:t>Zero Trust strategy and principles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03_Control_Baseline_NIST_800-53_R5.docx</w:t>
            </w:r>
          </w:p>
        </w:tc>
        <w:tc>
          <w:tcPr>
            <w:tcW w:type="dxa" w:w="2880"/>
          </w:tcPr>
          <w:p>
            <w:r>
              <w:t>FedRAMP-aligned control baseline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04_Data_Protection_and_Encryption.docx</w:t>
            </w:r>
          </w:p>
        </w:tc>
        <w:tc>
          <w:tcPr>
            <w:tcW w:type="dxa" w:w="2880"/>
          </w:tcPr>
          <w:p>
            <w:r>
              <w:t>Classification-driven protections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05_Identity_and_Privileged_Access_Security.docx</w:t>
            </w:r>
          </w:p>
        </w:tc>
        <w:tc>
          <w:tcPr>
            <w:tcW w:type="dxa" w:w="2880"/>
          </w:tcPr>
          <w:p>
            <w:r>
              <w:t>Privileged access and MFA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06_Logging_SIEM_and_Security_Analytics.docx</w:t>
            </w:r>
          </w:p>
        </w:tc>
        <w:tc>
          <w:tcPr>
            <w:tcW w:type="dxa" w:w="2880"/>
          </w:tcPr>
          <w:p>
            <w:r>
              <w:t>Centralized logging and detections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07_Vulnerability_and_Patch_Management.docx</w:t>
            </w:r>
          </w:p>
        </w:tc>
        <w:tc>
          <w:tcPr>
            <w:tcW w:type="dxa" w:w="2880"/>
          </w:tcPr>
          <w:p>
            <w:r>
              <w:t>Scanning and patch SLAs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08_Incident_Response_Playbooks_Index.docx</w:t>
            </w:r>
          </w:p>
        </w:tc>
        <w:tc>
          <w:tcPr>
            <w:tcW w:type="dxa" w:w="2880"/>
          </w:tcPr>
          <w:p>
            <w:r>
              <w:t>IR playbook catalog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09_Continuity_Disaster_Recovery_BCP.docx</w:t>
            </w:r>
          </w:p>
        </w:tc>
        <w:tc>
          <w:tcPr>
            <w:tcW w:type="dxa" w:w="2880"/>
          </w:tcPr>
          <w:p>
            <w:r>
              <w:t>Resilience and recovery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10_Continuous_Monitoring_Plan.docx</w:t>
            </w:r>
          </w:p>
        </w:tc>
        <w:tc>
          <w:tcPr>
            <w:tcW w:type="dxa" w:w="2880"/>
          </w:tcPr>
          <w:p>
            <w:r>
              <w:t>ConMon cadence and evidence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11_Privacy_PTA_PIA_Framework.docx</w:t>
            </w:r>
          </w:p>
        </w:tc>
        <w:tc>
          <w:tcPr>
            <w:tcW w:type="dxa" w:w="2880"/>
          </w:tcPr>
          <w:p>
            <w:r>
              <w:t>Privacy analyses and controls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12_Access_Reviews_and_Certifications.docx</w:t>
            </w:r>
          </w:p>
        </w:tc>
        <w:tc>
          <w:tcPr>
            <w:tcW w:type="dxa" w:w="2880"/>
          </w:tcPr>
          <w:p>
            <w:r>
              <w:t>Periodic access attestations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13_Key_Management_and_HSM_Operations.docx</w:t>
            </w:r>
          </w:p>
        </w:tc>
        <w:tc>
          <w:tcPr>
            <w:tcW w:type="dxa" w:w="2880"/>
          </w:tcPr>
          <w:p>
            <w:r>
              <w:t>Key lifecycle and HSM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14_Endpoint_Security_and_Baseline_Hardening.docx</w:t>
            </w:r>
          </w:p>
        </w:tc>
        <w:tc>
          <w:tcPr>
            <w:tcW w:type="dxa" w:w="2880"/>
          </w:tcPr>
          <w:p>
            <w:r>
              <w:t>Endpoint protections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15_Third_Party_Risk_and_Supply_Chain_Security.docx</w:t>
            </w:r>
          </w:p>
        </w:tc>
        <w:tc>
          <w:tcPr>
            <w:tcW w:type="dxa" w:w="2880"/>
          </w:tcPr>
          <w:p>
            <w:r>
              <w:t>Vendor and supply chain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16_Security_Exception_and_Risk_Acceptance.docx</w:t>
            </w:r>
          </w:p>
        </w:tc>
        <w:tc>
          <w:tcPr>
            <w:tcW w:type="dxa" w:w="2880"/>
          </w:tcPr>
          <w:p>
            <w:r>
              <w:t>Exception process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