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DR/BCP Security Validation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Quarterly DR tests; failover runbooks; evidence capture; lessons-learned into POA&amp;M.</w:t>
      </w:r>
    </w:p>
    <w:p>
      <w:r>
        <w:rPr>
          <w:rFonts w:ascii="Times New Roman" w:hAnsi="Times New Roman"/>
          <w:color w:val="000000"/>
          <w:sz w:val="22"/>
        </w:rPr>
        <w:t>• Access tests during DR; emergency accounts and logging continuity.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