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Guardrails (SCP/Config)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Mechanism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p>
      <w:r>
        <w:rPr>
          <w:rFonts w:ascii="Times New Roman" w:hAnsi="Times New Roman"/>
          <w:color w:val="000000"/>
          <w:sz w:val="22"/>
        </w:rPr>
        <w:t>• Service Control Policies for deny-by-default egress; required tags; root account protections.</w:t>
      </w:r>
    </w:p>
    <w:p>
      <w:r>
        <w:rPr>
          <w:rFonts w:ascii="Times New Roman" w:hAnsi="Times New Roman"/>
          <w:color w:val="000000"/>
          <w:sz w:val="22"/>
        </w:rPr>
        <w:t>• AWS Config conformance packs for encryption, logging, and network baselines.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