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Guardrails (Policy/Blueprints)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Assignment 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Azure Policy initiatives for encryption, tagging, allowed locations; Defender baseline.</w:t>
      </w:r>
    </w:p>
    <w:p>
      <w:r>
        <w:rPr>
          <w:rFonts w:ascii="Times New Roman" w:hAnsi="Times New Roman"/>
          <w:color w:val="000000"/>
          <w:sz w:val="22"/>
        </w:rPr>
        <w:t>• Management group policy assignment per court; deny effects where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