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40_SECURITY_PRIVACY — Index of Documents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Order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File Name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00_Cover_Sheet.docx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01_Terminology_and_Acronyms.docx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02_Security_Model_&amp;_Tenancy_Isolation_Overview.docx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03_Account___Subscription___Project___Compartment_Hierarchies_(All_Clouds).docx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04_Identity_&amp;_Access_Architecture.docx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05_Privileged_Access_Management_(PAM)_and_Break-Glass.docx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06_Network_Security_Baselines_—_Ingress___Egress___Segmentation.docx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07_Crypto_&amp;_Key_Management_Standard.docx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08_Data_Tagging_&amp;_Classification_Standard.docx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09_STIG_&amp;_CIS_Hardening_Baselines.docx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10_Vulnerability_&amp;_Patch_Management.docx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11_Logging,_Monitoring,_SIEM_&amp;_SOAR_—_CCoE_SOC.docx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12_Detection_Engineering_&amp;_Use_Cases.docx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13_Incident_Response_Plan_&amp;_Playbooks.docx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14_Continuous_Monitoring_(ConMon)_&amp;_ATO_Alignment.docx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15_Control_Mapping_—_NIST_SP_800-53_Rev._5.docx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16_Privacy_&amp;_CJIS_Considerations.docx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17_DLP,_eDiscovery,_and_Legal_Holds.docx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18_Secrets_Management_Standard.docx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19_Supply_Chain_Security_(SLSA_SBOM).docx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20_Endpoint_Security_&amp;_Device_Trust_(Admin).docx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21_Insider_Threat_&amp;_Anomaly_Management.docx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22_Deception_and_Honey_Tokens.docx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23_Backup_&amp;_Recovery_Security.docx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24_DR_BCP_Security_Validation.docx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25_Audit_&amp;_Reporting_Cadence.docx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26_Exceptions_&amp;_Risk_Acceptance_Workflow.docx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50_AWS_AWS_Guardrails_(SCP_Config).docx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50_AWS_AWS_Identity_Patterns.docx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50_AWS_AWS_Network_Security.docx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50_AWS_AWS_Data_Protection.docx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50_AWS_AWS_Logging_&amp;_SIEM.docx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50_AWS_AWS_STIG_CIS_Implementation.docx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60_Azure_Azure_Guardrails_(Policy_Blueprints).docx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60_Azure_Azure_Identity_Patterns.docx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60_Azure_Azure_Network_Security.docx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60_Azure_Azure_Data_Protection.docx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60_Azure_Azure_Logging_&amp;_SIEM.docx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60_Azure_Azure_STIG_CIS_Implementation.docx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70_GCP_GCP_Guardrails_(Org_Policy).docx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70_GCP_GCP_Identity_Patterns.docx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70_GCP_GCP_Network_Security.docx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70_GCP_GCP_Data_Protection.docx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70_GCP_GCP_Logging_&amp;_SIEM.docx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70_GCP_GCP_STIG_CIS_Implementation.docx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80_OCI_OCI_Guardrails_(Security_Zones).docx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80_OCI_OCI_Identity_Patterns.docx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80_OCI_OCI_Network_Security.docx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80_OCI_OCI_Data_Protection.docx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80_OCI_OCI_Logging_&amp;_SIEM.docx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50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80_OCI_OCI_STIG_CIS_Implementation.docx</w:t>
            </w:r>
          </w:p>
        </w:tc>
      </w:tr>
    </w:tbl>
    <w:p>
      <w:r>
        <w:rPr>
          <w:rFonts w:ascii="Times New Roman" w:hAnsi="Times New Roman"/>
          <w:color w:val="000000"/>
          <w:sz w:val="22"/>
        </w:rPr>
        <w:t>Annex: All user-uploaded files normalized to Word are in 'ANNEX_User_Uploaded/'.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