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Classification &amp; Tagging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Classes</w:t>
      </w:r>
    </w:p>
    <w:p>
      <w:r>
        <w:rPr>
          <w:rFonts w:ascii="Times New Roman" w:hAnsi="Times New Roman"/>
          <w:color w:val="000000"/>
          <w:sz w:val="22"/>
        </w:rPr>
        <w:t>- Public, Internal, Sensitive (PII/PCI/HIPAA/CJIS), Sealed/Protected.</w:t>
      </w:r>
    </w:p>
    <w:p>
      <w:r>
        <w:rPr>
          <w:rFonts w:ascii="Times New Roman" w:hAnsi="Times New Roman"/>
          <w:color w:val="000000"/>
          <w:sz w:val="22"/>
        </w:rPr>
        <w:t>- Treat Sensitive/Sealed with FedRAMP High‑equivalent; IL5‑like rigor if mandated.</w:t>
      </w:r>
    </w:p>
    <w:p>
      <w:r>
        <w:rPr>
          <w:rFonts w:ascii="Times New Roman" w:hAnsi="Times New Roman"/>
          <w:color w:val="000000"/>
          <w:sz w:val="22"/>
        </w:rPr>
        <w:t>Tags (minimum)</w:t>
      </w:r>
    </w:p>
    <w:p>
      <w:r>
        <w:rPr>
          <w:rFonts w:ascii="Times New Roman" w:hAnsi="Times New Roman"/>
          <w:color w:val="000000"/>
          <w:sz w:val="22"/>
        </w:rPr>
        <w:t>- court_id, system_id, data_class, owner, env, region, rto, rpo, retention, pii, cj is, encryption_key_id.</w:t>
      </w:r>
    </w:p>
    <w:p>
      <w:r>
        <w:rPr>
          <w:rFonts w:ascii="Times New Roman" w:hAnsi="Times New Roman"/>
          <w:color w:val="000000"/>
          <w:sz w:val="22"/>
        </w:rPr>
        <w:t>Storage &amp; Crypto</w:t>
      </w:r>
    </w:p>
    <w:p>
      <w:r>
        <w:rPr>
          <w:rFonts w:ascii="Times New Roman" w:hAnsi="Times New Roman"/>
          <w:color w:val="000000"/>
          <w:sz w:val="22"/>
        </w:rPr>
        <w:t>- Customer‑managed keys (HSM‑backed) for Sensitive/Sealed; per‑app keys; key rotation and dual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