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Discovery Master Plan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Scope: 300 courts; hybrid discovery (automated + interviews).</w:t>
      </w:r>
    </w:p>
    <w:p>
      <w:r>
        <w:rPr>
          <w:rFonts w:ascii="Times New Roman" w:hAnsi="Times New Roman"/>
          <w:color w:val="000000"/>
          <w:sz w:val="22"/>
        </w:rPr>
        <w:t>• Objectives: complete inventories; readiness scores; provider recommendation per court.</w:t>
      </w:r>
    </w:p>
    <w:p>
      <w:r>
        <w:rPr>
          <w:rFonts w:ascii="Times New Roman" w:hAnsi="Times New Roman"/>
          <w:color w:val="000000"/>
          <w:sz w:val="22"/>
        </w:rPr>
        <w:t>• Outcomes: signed Court Discovery Binder and Go/No-Go for migration wave.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