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Automation Runbook — Collector Setup (GCP)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Create security project; grant Viewer/Monitoring Viewer; SCC read; Asset Inventory export.</w:t>
      </w:r>
    </w:p>
    <w:p>
      <w:r>
        <w:rPr>
          <w:rFonts w:ascii="Times New Roman" w:hAnsi="Times New Roman"/>
          <w:color w:val="000000"/>
          <w:sz w:val="22"/>
        </w:rPr>
        <w:t>• Set sinks to centralized project; BigQuery exports for billing.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