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Automation Runbook — Collector Setup (OCI)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Cloud Guard; create read policies for compartments; Logging exports; Cost reports.</w:t>
      </w:r>
    </w:p>
    <w:p>
      <w:r>
        <w:rPr>
          <w:rFonts w:ascii="Times New Roman" w:hAnsi="Times New Roman"/>
          <w:color w:val="000000"/>
          <w:sz w:val="22"/>
        </w:rPr>
        <w:t>• Security Zones for discovery; Object Storage targets for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