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50_DISCOVERY_INVENTORY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02_Discovery_Master_Plan.docx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03_Court_Catalog_and_ID_Scheme.docx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04_Roles_and_Staffing_for_Discovery.docx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05_Schedule_and_Waves.docx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06_Evidence_Handling_and_Naming_Standards.docx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07_Tooling_and_Data_Sources_AWS_Azure_GCP_OCI.docx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08_Data_Model_for_CMDB_and_Ingestion.docx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09_Deduplication_and_Data_Quality.docx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10_Privacy_Security_and_Consent_for_Discovery.docx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11_Per-Court_Discovery_Binder_Template_Checklist.docx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12_Intake_Form_Court_Overview.docx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13_Infrastructure_Inventory_IaaS.docx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14_VMware_Discovery.docx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15_Network_Discovery.docx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16_Application_Portfolio.docx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17_Data_Assets_Classification.docx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18_SaaS_Licensing.docx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19_Identity_Access_Baseline.docx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20_Security_Posture_STIG_CIS_Checklist.docx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21_Backup_DR_Recovery.docx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22_Dependency_Mapping.docx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23_Readiness_Scoring_Model.docx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24_Cloud_Selection_Questionnaire.docx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25_Tagging_Metadata_Standard_Court_Implementation.docx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26_Evidence_Capture_Checklist.docx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27_Interview_Guide_Technical_Operations.docx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28_Interview_Guide_Business_Users.docx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29_Court_Completion_Signoff.docx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30_QA_Audit_Spot-Check_Procedures.docx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31_Risks_Issues_Log_Discovery.docx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32_Automation_Runbook_Collector_Setup_AWS_.docx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33_Automation_Runbook_Collector_Setup_Azure_.docx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34_Automation_Runbook_Collector_Setup_GCP_.docx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35_Automation_Runbook_Collector_Setup_OCI_.docx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36_API_Exports_Specification.docx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37_Dashboards_Reporting_Specification.docx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38_Master_Index_of_Court_Binders.docx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