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Roles and RACI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PM, Migration Lead, Cloud Architect, Data SME, Network SME, Security SME, App Owners.</w:t>
      </w:r>
    </w:p>
    <w:p>
      <w:r>
        <w:rPr>
          <w:rFonts w:ascii="Times New Roman" w:hAnsi="Times New Roman"/>
          <w:color w:val="000000"/>
          <w:sz w:val="22"/>
        </w:rPr>
        <w:t>• RACI per factory stage; change control authorities (ARB/CCB/ECAB).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