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Hypercare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30/60/90-day criteria; ticket watch; performance watch; exit criteria to steady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Day 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