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VMware to Cloud Options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Native rehost to IaaS, refactor to containers/serverless, or targeted VMware‑as‑a‑Service offerings per CSP.</w:t>
      </w:r>
    </w:p>
    <w:p>
      <w:r>
        <w:rPr>
          <w:rFonts w:ascii="Times New Roman" w:hAnsi="Times New Roman"/>
          <w:color w:val="000000"/>
          <w:sz w:val="22"/>
        </w:rPr>
        <w:t>- Validate compliance regions and controls before selection.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