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Isolation &amp; Cross-Tenant Access Model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Per-court accounts under Court‑Prod/NonProd OUs; no east-west between courts.</w:t>
      </w:r>
    </w:p>
    <w:p>
      <w:r>
        <w:rPr>
          <w:rFonts w:ascii="Times New Roman" w:hAnsi="Times New Roman"/>
          <w:color w:val="000000"/>
          <w:sz w:val="22"/>
        </w:rPr>
        <w:t>• CCoE access via time-bound, least-privilege roles; audited; approval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 Pattern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Role/Policy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Timeout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Audit Path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