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Network Baseline — VPC, TGW, Ingress/Egress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Per‑court VPCs; shared TGW; private service access; centralized egress with default‑deny.</w:t>
      </w:r>
    </w:p>
    <w:p>
      <w:r>
        <w:rPr>
          <w:rFonts w:ascii="Times New Roman" w:hAnsi="Times New Roman"/>
          <w:color w:val="000000"/>
          <w:sz w:val="22"/>
        </w:rPr>
        <w:t>• Split‑horizon DNS; resolver rules; inbound only via WAF/LB to private targets.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Pattern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Components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Controls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