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Vulnerability &amp; Patch (Inspector &amp; SSM)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Inspector coverage; SSM Patch Manager windows; severity‑based SLAs; proof‑of‑fix retention.</w:t>
      </w:r>
    </w:p>
    <w:p>
      <w:r>
        <w:rPr>
          <w:rFonts w:ascii="Times New Roman" w:hAnsi="Times New Roman"/>
          <w:color w:val="000000"/>
          <w:sz w:val="22"/>
        </w:rPr>
        <w:t>• Report roll‑up to Security account; link to POA&amp;M when needed.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 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