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GovCloud (US) Reference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Account/Subscription/Project structure with isolation per court and environment.</w:t>
      </w:r>
    </w:p>
    <w:p>
      <w:r>
        <w:rPr>
          <w:rFonts w:ascii="Times New Roman" w:hAnsi="Times New Roman"/>
          <w:color w:val="000000"/>
          <w:sz w:val="22"/>
        </w:rPr>
        <w:t>- Central shared services for logging, security tooling, and connectivity.</w:t>
      </w:r>
    </w:p>
    <w:p>
      <w:r>
        <w:rPr>
          <w:rFonts w:ascii="Times New Roman" w:hAnsi="Times New Roman"/>
          <w:color w:val="000000"/>
          <w:sz w:val="22"/>
        </w:rPr>
        <w:t>- Private service access to PaaS; restricted egress; WAF‑fronted ingress.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