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Identity Federation &amp; Role Catalog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Federate to central IdP (SAML/OIDC); SCIM/JIT; group-based roles; short sessions; PAW-only for admin.</w:t>
      </w:r>
    </w:p>
    <w:p>
      <w:r>
        <w:rPr>
          <w:rFonts w:ascii="Times New Roman" w:hAnsi="Times New Roman"/>
          <w:color w:val="000000"/>
          <w:sz w:val="22"/>
        </w:rPr>
        <w:t>• Break-glass accounts: offline MFA; monitored; review after use.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Permissions Boundary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Session Duration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