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Private Service Access Patterns (PrivateLink)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Use PrivateLink to reach PaaS/SaaS where possible; no public management endpoints.</w:t>
      </w:r>
    </w:p>
    <w:p>
      <w:r>
        <w:rPr>
          <w:rFonts w:ascii="Times New Roman" w:hAnsi="Times New Roman"/>
          <w:color w:val="000000"/>
          <w:sz w:val="22"/>
        </w:rPr>
        <w:t>• Broker services via Shared‑Services account; catalog approved endpoints.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Endpoint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Owning Account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Approved?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