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Metadata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tags on all resources: court_id, system_id, data_class, owner, env, region, rto, rpo, retention, pii, cjis, encryption_key_id.</w:t>
      </w:r>
    </w:p>
    <w:p>
      <w:r>
        <w:rPr>
          <w:rFonts w:ascii="Times New Roman" w:hAnsi="Times New Roman"/>
          <w:color w:val="000000"/>
          <w:sz w:val="22"/>
        </w:rPr>
        <w:t>• Deny non‑compliant creation; scheduled remediation; reporting for ATO/FinOps.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 of Truth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