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Controls &amp; Budgets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Budgets per court; anomaly detection; tag‑based cost allocation; SP/RI strategy.</w:t>
      </w:r>
    </w:p>
    <w:p>
      <w:r>
        <w:rPr>
          <w:rFonts w:ascii="Times New Roman" w:hAnsi="Times New Roman"/>
          <w:color w:val="000000"/>
          <w:sz w:val="22"/>
        </w:rPr>
        <w:t>• Monthly variance reports to stakeholders; corrective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