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Logging, Monitoring, and Sentinel Integration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Centralized log sinks; integrity controls; findings routed to SIEM; per-court segregation.</w:t>
      </w:r>
    </w:p>
    <w:p>
      <w:r>
        <w:rPr>
          <w:rFonts w:ascii="Times New Roman" w:hAnsi="Times New Roman"/>
          <w:color w:val="000000"/>
          <w:sz w:val="22"/>
        </w:rPr>
        <w:t>• Retention per policy; search &amp; analytics access bound to court IDs.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 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Aggregation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