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Baseline — vWAN/Hub-Spoke, Ingress/Egress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VNets/VPCs/VCNs; centralized hub; private service access; default‑deny egress.</w:t>
      </w:r>
    </w:p>
    <w:p>
      <w:r>
        <w:rPr>
          <w:rFonts w:ascii="Times New Roman" w:hAnsi="Times New Roman"/>
          <w:color w:val="000000"/>
          <w:sz w:val="22"/>
        </w:rPr>
        <w:t>• Split‑horizon DNS; resolver/peering rules; inbound via WAF/LB to private targets.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