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Inheritance &amp; Evidence Map (Azure 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inherited vs implemented controls; evidence storage; ConMon cadence.</w:t>
      </w:r>
    </w:p>
    <w:p>
      <w:r>
        <w:rPr>
          <w:rFonts w:ascii="Times New Roman" w:hAnsi="Times New Roman"/>
          <w:color w:val="000000"/>
          <w:sz w:val="22"/>
        </w:rPr>
        <w:t>• Coordinates with 70_ATO package for SSP/POA&amp;M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