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Landing Zone — Overview &amp; Principles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isolation (one subscription/project/compartment per court) with centralized CCoE shared services.</w:t>
      </w:r>
    </w:p>
    <w:p>
      <w:r>
        <w:rPr>
          <w:rFonts w:ascii="Times New Roman" w:hAnsi="Times New Roman"/>
          <w:color w:val="000000"/>
          <w:sz w:val="22"/>
        </w:rPr>
        <w:t>• Zero Trust defaults; private-first networking; policy-as-code guardrails; evidence capture for 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