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SCC Posture &amp; Compliance Packs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Enabled in all court scopes; central aggregation; violation routing with SLAs.</w:t>
      </w:r>
    </w:p>
    <w:p>
      <w:r>
        <w:rPr>
          <w:rFonts w:ascii="Times New Roman" w:hAnsi="Times New Roman"/>
          <w:color w:val="000000"/>
          <w:sz w:val="22"/>
        </w:rPr>
        <w:t>• Compliance packs aligned to NIST 800‑53 families; evidence export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Pack/Rule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Auto-Remediation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