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Baseline Security Services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 platform-native detections; enrollment of all court scopes; auto‑response hooks.</w:t>
      </w:r>
    </w:p>
    <w:p>
      <w:r>
        <w:rPr>
          <w:rFonts w:ascii="Times New Roman" w:hAnsi="Times New Roman"/>
          <w:color w:val="000000"/>
          <w:sz w:val="22"/>
        </w:rPr>
        <w:t>• WAF/DDOS protections at edges; evidence capture for findings and remediation.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Enabled By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Alerts To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