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Vulnerability &amp; Patch Management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Coverage for hosts, containers, images; severity‑based SLAs; proof‑of‑fix retention.</w:t>
      </w:r>
    </w:p>
    <w:p>
      <w:r>
        <w:rPr>
          <w:rFonts w:ascii="Times New Roman" w:hAnsi="Times New Roman"/>
          <w:color w:val="000000"/>
          <w:sz w:val="22"/>
        </w:rPr>
        <w:t>• Roll‑up reporting; link to POA&amp;M when needed.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Asset Type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Tooling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Coverage 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SLA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