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Court Isolation &amp; Cross-Tenant Access Model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No east‑west access between courts; central shared services exposed via private endpoints.</w:t>
      </w:r>
    </w:p>
    <w:p>
      <w:r>
        <w:rPr>
          <w:rFonts w:ascii="Times New Roman" w:hAnsi="Times New Roman"/>
          <w:color w:val="000000"/>
          <w:sz w:val="22"/>
        </w:rPr>
        <w:t>• Time-bound, least‑privilege elevation; approval workflows; auditable trails.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 Pattern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Role/Policy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Approval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Timeout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Audit Path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