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Compartment Structure &amp; Tenancy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Root organization mapped to MGs/Folders/Compartments for Security, Logging, Shared-Services, Sandboxes, Court‑Prod, Court‑NonProd.</w:t>
      </w:r>
    </w:p>
    <w:p>
      <w:r>
        <w:rPr>
          <w:rFonts w:ascii="Times New Roman" w:hAnsi="Times New Roman"/>
          <w:color w:val="000000"/>
          <w:sz w:val="22"/>
        </w:rPr>
        <w:t>• Per-court subscription/project/compartment created under Court‑Prod/NonProd groupings.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Controls/Policies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