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Zones &amp; Policy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Mandatory: deny public endpoints, enforce regions, require tags/labels, restrict external IPs, enforce encryption at rest/in transit.</w:t>
      </w:r>
    </w:p>
    <w:p>
      <w:r>
        <w:rPr>
          <w:rFonts w:ascii="Times New Roman" w:hAnsi="Times New Roman"/>
          <w:color w:val="000000"/>
          <w:sz w:val="22"/>
        </w:rPr>
        <w:t>• Exception handling via time‑bound overrides approved by CCoE.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Default State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