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Federation &amp; IAM Policies Catalog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Federate to central IdP; SCIM/JIT; group-based roles; short sessions; PAW-only for admin.</w:t>
      </w:r>
    </w:p>
    <w:p>
      <w:r>
        <w:rPr>
          <w:rFonts w:ascii="Times New Roman" w:hAnsi="Times New Roman"/>
          <w:color w:val="000000"/>
          <w:sz w:val="22"/>
        </w:rPr>
        <w:t>• Break‑glass accounts: MFA enforced; monitored; post‑use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Permissions/Policy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Session Duration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