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Service Gateway / Private Endpoint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Prefer private endpoints to reach PaaS/SaaS; avoid public admin APIs.</w:t>
      </w:r>
    </w:p>
    <w:p>
      <w:r>
        <w:rPr>
          <w:rFonts w:ascii="Times New Roman" w:hAnsi="Times New Roman"/>
          <w:color w:val="000000"/>
          <w:sz w:val="22"/>
        </w:rPr>
        <w:t>• Broker common services via Shared‑Services scope; approve/track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Endpoint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Owning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