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FinOps Controls &amp; Budgets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Budgets per court; anomaly detection; tag/label‑based allocation; commitment plans.</w:t>
      </w:r>
    </w:p>
    <w:p>
      <w:r>
        <w:rPr>
          <w:rFonts w:ascii="Times New Roman" w:hAnsi="Times New Roman"/>
          <w:color w:val="000000"/>
          <w:sz w:val="22"/>
        </w:rPr>
        <w:t>• Monthly variance reports; corrective actions.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Court_ID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Budget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Actual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Variance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