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OCI_LANDING_ZONE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02_OCI_Landing_Zone_Overview_Principles.docx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03_Court_Isolation_Cross-Tenant_Access_Model.docx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04_Compartment_Structure_Tenancy_Design.docx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05_Compartment_Provisioning_Lifecycle.docx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06_Security_Zones_Policy_Catalog.docx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07_Cloud_Guard_Recipes_Compliance_Packs.docx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08_Federation_IAM_Policies_Catalog.docx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09_Logging_Monitoring_and_SIEM_Integration.docx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10_Vault_KMS_Key_Management.docx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11_Network_Baseline_VCN_Ingress_Egress.docx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12_Service_Gateway_Private_Endpoint_Patterns.docx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13_Baseline_Security_Services.docx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14_Tagging_Metadata_Standard.docx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15_Backup_Restore_DR_Baselines.docx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16_Vulnerability_Patch_Management.docx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17_Configuration_Management_Images.docx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18_FinOps_Controls_Budgets.docx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19_Change_Control_Infrastructure_Pipelines_CI_CD_.docx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20_Validation_Audit_Checklists.docx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21_ATO_Inheritance_Evidence_Map_OCI_LZ_.docx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22_OCI_IaaS_Standards_Baselines_LZ_.docx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23_OCI_PaaS_Patterns_Guardrails_LZ_.docx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24_OCI_SaaS_Integration_Governance_LZ_.docx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25_Runbook_Central_Logging_Service_Connectors.docx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26_Runbook_Compartment_Provisioning_Automation.docx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27_Runbook_Cloud_Guard_Posture_Enablement.docx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28_Runbook_Security_Zones_Auto-Remediation.docx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29_Runbook_VCN_Service_Gateway_per_Court.docx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