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Cross-Cloud Vision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isolation, centralized shared services, Zero Trust defaults, private‑first networking.</w:t>
      </w:r>
    </w:p>
    <w:p>
      <w:r>
        <w:rPr>
          <w:rFonts w:ascii="Times New Roman" w:hAnsi="Times New Roman"/>
          <w:color w:val="000000"/>
          <w:sz w:val="22"/>
        </w:rPr>
        <w:t>• Policy-as-code, evidence-first operations, portability and exit planning, automation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